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6F60DD" w14:textId="26670057" w:rsidR="00BC3B96" w:rsidRDefault="0093607C">
      <w:pPr>
        <w:rPr>
          <w:rFonts w:ascii="Arial" w:hAnsi="Arial" w:cs="Arial"/>
          <w:b/>
        </w:rPr>
      </w:pPr>
      <w:r w:rsidRPr="0093607C">
        <w:rPr>
          <w:rFonts w:ascii="Arial" w:hAnsi="Arial" w:cs="Arial"/>
          <w:b/>
        </w:rPr>
        <w:t>LYRA ECLIPSE IP40 statisches Weiß</w:t>
      </w:r>
    </w:p>
    <w:p w14:paraId="22E94A51" w14:textId="0A94692F" w:rsidR="0093607C" w:rsidRDefault="0093607C">
      <w:pPr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>24 V, extern zertifizierte, IP</w:t>
      </w:r>
      <w:r>
        <w:rPr>
          <w:rFonts w:ascii="Arial" w:eastAsiaTheme="minorEastAsia" w:hAnsi="Arial" w:cs="Arial"/>
          <w:kern w:val="0"/>
          <w:sz w:val="20"/>
          <w:szCs w:val="20"/>
          <w:lang w:eastAsia="de-DE"/>
        </w:rPr>
        <w:t>40</w:t>
      </w: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>-geschützte</w:t>
      </w:r>
      <w:r>
        <w:rPr>
          <w:rFonts w:ascii="Arial" w:eastAsiaTheme="minorEastAsia" w:hAnsi="Arial" w:cs="Arial"/>
          <w:kern w:val="0"/>
          <w:sz w:val="20"/>
          <w:szCs w:val="20"/>
          <w:lang w:eastAsia="de-DE"/>
        </w:rPr>
        <w:t>, e</w:t>
      </w:r>
      <w:r w:rsidRPr="0093607C">
        <w:rPr>
          <w:rFonts w:ascii="Arial" w:eastAsiaTheme="minorEastAsia" w:hAnsi="Arial" w:cs="Arial"/>
          <w:kern w:val="0"/>
          <w:sz w:val="20"/>
          <w:szCs w:val="20"/>
          <w:lang w:eastAsia="de-DE"/>
        </w:rPr>
        <w:t>legante runde Leuchte mit kleinem Profilquerschnitt</w:t>
      </w:r>
      <w:r>
        <w:rPr>
          <w:rFonts w:ascii="Arial" w:eastAsiaTheme="minorEastAsia" w:hAnsi="Arial" w:cs="Arial"/>
          <w:kern w:val="0"/>
          <w:sz w:val="20"/>
          <w:szCs w:val="20"/>
          <w:lang w:eastAsia="de-DE"/>
        </w:rPr>
        <w:t>.</w:t>
      </w:r>
      <w:r w:rsidRPr="0093607C">
        <w:rPr>
          <w:rFonts w:ascii="Times New Roman" w:hAnsi="Times New Roman" w:cs="Times New Roman"/>
          <w:kern w:val="0"/>
          <w14:ligatures w14:val="none"/>
        </w:rPr>
        <w:t xml:space="preserve"> </w:t>
      </w:r>
      <w:r>
        <w:rPr>
          <w:rFonts w:ascii="Arial" w:eastAsiaTheme="minorEastAsia" w:hAnsi="Arial" w:cs="Arial"/>
          <w:kern w:val="0"/>
          <w:sz w:val="20"/>
          <w:szCs w:val="20"/>
          <w:lang w:eastAsia="de-DE"/>
        </w:rPr>
        <w:t>E</w:t>
      </w:r>
      <w:r w:rsidRPr="0093607C">
        <w:rPr>
          <w:rFonts w:ascii="Arial" w:eastAsiaTheme="minorEastAsia" w:hAnsi="Arial" w:cs="Arial"/>
          <w:kern w:val="0"/>
          <w:sz w:val="20"/>
          <w:szCs w:val="20"/>
          <w:lang w:eastAsia="de-DE"/>
        </w:rPr>
        <w:t>rhältlich in 2 unterschiedlichen Durchmessern und 2 Profilfarben.</w:t>
      </w:r>
    </w:p>
    <w:p w14:paraId="59E0C23D" w14:textId="79AF5E97" w:rsidR="0033396D" w:rsidRPr="0093607C" w:rsidRDefault="0033396D" w:rsidP="0033396D">
      <w:pPr>
        <w:rPr>
          <w:rFonts w:ascii="Arial" w:hAnsi="Arial" w:cs="Arial"/>
          <w:b/>
        </w:rPr>
      </w:pPr>
      <w:r>
        <w:rPr>
          <w:rFonts w:ascii="Arial" w:eastAsiaTheme="minorEastAsia" w:hAnsi="Arial" w:cs="Arial"/>
          <w:kern w:val="0"/>
          <w:sz w:val="20"/>
          <w:szCs w:val="20"/>
          <w:lang w:eastAsia="de-DE"/>
        </w:rPr>
        <w:t>LYRA ECLIPSE:</w:t>
      </w:r>
      <w:r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  <w:t>806 mm (Durchmesser)</w:t>
      </w:r>
      <w:r>
        <w:rPr>
          <w:rFonts w:ascii="Arial" w:eastAsiaTheme="minorEastAsia" w:hAnsi="Arial" w:cs="Arial"/>
          <w:kern w:val="0"/>
          <w:sz w:val="20"/>
          <w:szCs w:val="20"/>
          <w:lang w:eastAsia="de-DE"/>
        </w:rPr>
        <w:br/>
        <w:t>LYRA ECLIPSE:</w:t>
      </w:r>
      <w:r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  <w:t>1164 mm (Durchmesser)</w:t>
      </w:r>
    </w:p>
    <w:p w14:paraId="266058B1" w14:textId="0250E1E0" w:rsidR="00A25CA4" w:rsidRDefault="00A25CA4" w:rsidP="006A5E15">
      <w:pPr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  <w:r>
        <w:rPr>
          <w:rFonts w:ascii="Arial" w:eastAsiaTheme="minorEastAsia" w:hAnsi="Arial" w:cs="Arial"/>
          <w:kern w:val="0"/>
          <w:sz w:val="20"/>
          <w:szCs w:val="20"/>
          <w:lang w:eastAsia="de-DE"/>
        </w:rPr>
        <w:t>Gehäuse aus stranggepressten und gebogenen, eloxierten Aluminiumprofil in Schwarz und Silber.</w:t>
      </w:r>
    </w:p>
    <w:p w14:paraId="0288ECF6" w14:textId="37BE9B80" w:rsidR="006A5E15" w:rsidRDefault="0033396D" w:rsidP="006A5E15">
      <w:pPr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  <w:proofErr w:type="spellStart"/>
      <w:r w:rsidRPr="0033396D">
        <w:rPr>
          <w:rFonts w:ascii="Arial" w:eastAsiaTheme="minorEastAsia" w:hAnsi="Arial" w:cs="Arial"/>
          <w:kern w:val="0"/>
          <w:sz w:val="20"/>
          <w:szCs w:val="20"/>
          <w:lang w:eastAsia="de-DE"/>
        </w:rPr>
        <w:t>Eclipse</w:t>
      </w:r>
      <w:proofErr w:type="spellEnd"/>
      <w:r w:rsidRPr="0033396D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 wird inklusive passendem </w:t>
      </w:r>
      <w:proofErr w:type="spellStart"/>
      <w:r w:rsidRPr="0033396D">
        <w:rPr>
          <w:rFonts w:ascii="Arial" w:eastAsiaTheme="minorEastAsia" w:hAnsi="Arial" w:cs="Arial"/>
          <w:kern w:val="0"/>
          <w:sz w:val="20"/>
          <w:szCs w:val="20"/>
          <w:lang w:eastAsia="de-DE"/>
        </w:rPr>
        <w:t>Abpendelungs</w:t>
      </w:r>
      <w:proofErr w:type="spellEnd"/>
      <w:r w:rsidRPr="0033396D">
        <w:rPr>
          <w:rFonts w:ascii="Arial" w:eastAsiaTheme="minorEastAsia" w:hAnsi="Arial" w:cs="Arial"/>
          <w:kern w:val="0"/>
          <w:sz w:val="20"/>
          <w:szCs w:val="20"/>
          <w:lang w:eastAsia="de-DE"/>
        </w:rPr>
        <w:t>-Montage-Kit (max. Pendelhöhe ca. 2m) und Vorschaltgerät (EVG) für die Einbau- oder Deckenmontage geliefert.</w:t>
      </w:r>
      <w:r w:rsidRPr="0033396D">
        <w:rPr>
          <w:rFonts w:ascii="Times New Roman" w:hAnsi="Times New Roman" w:cs="Times New Roman"/>
          <w:kern w:val="0"/>
          <w14:ligatures w14:val="none"/>
        </w:rPr>
        <w:t xml:space="preserve"> </w:t>
      </w:r>
      <w:r w:rsidRPr="0033396D">
        <w:rPr>
          <w:rFonts w:ascii="Arial" w:eastAsiaTheme="minorEastAsia" w:hAnsi="Arial" w:cs="Arial"/>
          <w:kern w:val="0"/>
          <w:sz w:val="20"/>
          <w:szCs w:val="20"/>
          <w:lang w:eastAsia="de-DE"/>
        </w:rPr>
        <w:t>Ein eleganter Blickfang für unvergleichliche Beleuchtungslösungen. Inklusive passendem Baldachin und Vorschaltgerät (DALI).</w:t>
      </w:r>
    </w:p>
    <w:p w14:paraId="027FC436" w14:textId="63397984" w:rsidR="006557D7" w:rsidRDefault="006557D7" w:rsidP="006A5E15">
      <w:pPr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  <w:r>
        <w:rPr>
          <w:rFonts w:ascii="Arial" w:eastAsiaTheme="minorEastAsia" w:hAnsi="Arial" w:cs="Arial"/>
          <w:kern w:val="0"/>
          <w:sz w:val="20"/>
          <w:szCs w:val="20"/>
          <w:lang w:eastAsia="de-DE"/>
        </w:rPr>
        <w:t>Ausgestattet mit einer hochwertigen Opaloptik.</w:t>
      </w:r>
    </w:p>
    <w:p w14:paraId="33263E8E" w14:textId="59F75BE7" w:rsidR="006A5E15" w:rsidRPr="006A5E15" w:rsidRDefault="006A5E15" w:rsidP="006A5E15">
      <w:pPr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  <w:r w:rsidRPr="005B15CB">
        <w:rPr>
          <w:rFonts w:ascii="Arial" w:eastAsiaTheme="minorEastAsia" w:hAnsi="Arial" w:cs="Arial"/>
          <w:b/>
          <w:kern w:val="0"/>
          <w:lang w:eastAsia="de-DE"/>
        </w:rPr>
        <w:t>Lichtquelle</w:t>
      </w:r>
    </w:p>
    <w:p w14:paraId="424A3028" w14:textId="2C041F90" w:rsidR="006A5E15" w:rsidRDefault="006A5E15" w:rsidP="006A5E1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  <w:r w:rsidRPr="005B15CB">
        <w:rPr>
          <w:rFonts w:ascii="Arial" w:eastAsiaTheme="minorEastAsia" w:hAnsi="Arial" w:cs="Arial"/>
          <w:kern w:val="0"/>
          <w:sz w:val="20"/>
          <w:szCs w:val="20"/>
          <w:lang w:eastAsia="de-DE"/>
        </w:rPr>
        <w:t>24-V-Lichtquelle, hergestellt mit einem hochmodernen automatisierten Reel-</w:t>
      </w:r>
      <w:proofErr w:type="spellStart"/>
      <w:r w:rsidRPr="005B15CB">
        <w:rPr>
          <w:rFonts w:ascii="Arial" w:eastAsiaTheme="minorEastAsia" w:hAnsi="Arial" w:cs="Arial"/>
          <w:kern w:val="0"/>
          <w:sz w:val="20"/>
          <w:szCs w:val="20"/>
          <w:lang w:eastAsia="de-DE"/>
        </w:rPr>
        <w:t>to</w:t>
      </w:r>
      <w:proofErr w:type="spellEnd"/>
      <w:r w:rsidRPr="005B15CB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-Reel-Produktionsverfahrens (R2R), das die LED Linear™ </w:t>
      </w:r>
      <w:proofErr w:type="spellStart"/>
      <w:r w:rsidRPr="005B15CB">
        <w:rPr>
          <w:rFonts w:ascii="Arial" w:eastAsiaTheme="minorEastAsia" w:hAnsi="Arial" w:cs="Arial"/>
          <w:kern w:val="0"/>
          <w:sz w:val="20"/>
          <w:szCs w:val="20"/>
          <w:lang w:eastAsia="de-DE"/>
        </w:rPr>
        <w:t>Tj</w:t>
      </w:r>
      <w:proofErr w:type="spellEnd"/>
      <w:r w:rsidRPr="005B15CB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 </w:t>
      </w:r>
      <w:proofErr w:type="spellStart"/>
      <w:r w:rsidRPr="005B15CB">
        <w:rPr>
          <w:rFonts w:ascii="Arial" w:eastAsiaTheme="minorEastAsia" w:hAnsi="Arial" w:cs="Arial"/>
          <w:kern w:val="0"/>
          <w:sz w:val="20"/>
          <w:szCs w:val="20"/>
          <w:lang w:eastAsia="de-DE"/>
        </w:rPr>
        <w:t>Away</w:t>
      </w:r>
      <w:proofErr w:type="spellEnd"/>
      <w:r w:rsidRPr="005B15CB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®-Technologie für dünne, flexible Leiterplatten unterstützt. </w:t>
      </w:r>
    </w:p>
    <w:p w14:paraId="4E69B271" w14:textId="77777777" w:rsidR="006A5E15" w:rsidRDefault="006A5E15" w:rsidP="006A5E1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</w:p>
    <w:p w14:paraId="1719F54B" w14:textId="21FBECFA" w:rsidR="006A5E15" w:rsidRDefault="006A5E15">
      <w:pPr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  <w:r w:rsidRPr="006A5E15">
        <w:rPr>
          <w:rFonts w:ascii="Arial" w:eastAsiaTheme="minorEastAsia" w:hAnsi="Arial" w:cs="Arial"/>
          <w:kern w:val="0"/>
          <w:sz w:val="20"/>
          <w:szCs w:val="20"/>
          <w:lang w:eastAsia="de-DE"/>
        </w:rPr>
        <w:t>In Verbindung mit LED-Packages wird ein Wärmewiderstand erzielt, der eine optimale Wärmeableitung (Junction zum Profil) ermöglicht, wodurch eine herausragende Lebensdauer von über 60.000 Betriebsstunden (L80/B10) erreicht wird.</w:t>
      </w:r>
    </w:p>
    <w:p w14:paraId="1A039912" w14:textId="5029A9E4" w:rsidR="006A5E15" w:rsidRDefault="006A5E15">
      <w:pPr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  <w:r w:rsidRPr="006A5E15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Integriert sind hochwertige </w:t>
      </w:r>
      <w:r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LEDs </w:t>
      </w:r>
      <w:r w:rsidRPr="006A5E15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mit 3-stufigem </w:t>
      </w:r>
      <w:proofErr w:type="spellStart"/>
      <w:r w:rsidRPr="006A5E15">
        <w:rPr>
          <w:rFonts w:ascii="Arial" w:eastAsiaTheme="minorEastAsia" w:hAnsi="Arial" w:cs="Arial"/>
          <w:kern w:val="0"/>
          <w:sz w:val="20"/>
          <w:szCs w:val="20"/>
          <w:lang w:eastAsia="de-DE"/>
        </w:rPr>
        <w:t>MacAdams</w:t>
      </w:r>
      <w:proofErr w:type="spellEnd"/>
      <w:r w:rsidRPr="006A5E15">
        <w:rPr>
          <w:rFonts w:ascii="Arial" w:eastAsiaTheme="minorEastAsia" w:hAnsi="Arial" w:cs="Arial"/>
          <w:kern w:val="0"/>
          <w:sz w:val="20"/>
          <w:szCs w:val="20"/>
          <w:lang w:eastAsia="de-DE"/>
        </w:rPr>
        <w:t>-Binning (SDCM3), zentriert auf einen einzigen Farbtemperatur-Zielwert (</w:t>
      </w:r>
      <w:proofErr w:type="spellStart"/>
      <w:r w:rsidRPr="006A5E15">
        <w:rPr>
          <w:rFonts w:ascii="Arial" w:eastAsiaTheme="minorEastAsia" w:hAnsi="Arial" w:cs="Arial"/>
          <w:kern w:val="0"/>
          <w:sz w:val="20"/>
          <w:szCs w:val="20"/>
          <w:lang w:eastAsia="de-DE"/>
        </w:rPr>
        <w:t>One</w:t>
      </w:r>
      <w:proofErr w:type="spellEnd"/>
      <w:r w:rsidRPr="006A5E15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 Bin Only) mit erweitertem photometrischen Code </w:t>
      </w:r>
      <w:proofErr w:type="spellStart"/>
      <w:r w:rsidRPr="006A5E15">
        <w:rPr>
          <w:rFonts w:ascii="Arial" w:eastAsiaTheme="minorEastAsia" w:hAnsi="Arial" w:cs="Arial"/>
          <w:kern w:val="0"/>
          <w:sz w:val="20"/>
          <w:szCs w:val="20"/>
          <w:lang w:eastAsia="de-DE"/>
        </w:rPr>
        <w:t>Wxxx</w:t>
      </w:r>
      <w:proofErr w:type="spellEnd"/>
      <w:r w:rsidRPr="006A5E15">
        <w:rPr>
          <w:rFonts w:ascii="Arial" w:eastAsiaTheme="minorEastAsia" w:hAnsi="Arial" w:cs="Arial"/>
          <w:kern w:val="0"/>
          <w:sz w:val="20"/>
          <w:szCs w:val="20"/>
          <w:lang w:eastAsia="de-DE"/>
        </w:rPr>
        <w:t>/339, die während der gesamten Nennlebensdauer eine hervorragende Farbkonstanz aufweisen. Überragende Farbwiedergabe durch einen Ra-Wert von bis zu 96 (R9 = 81) und TM-30-15 bis Rf = 89/</w:t>
      </w:r>
      <w:proofErr w:type="spellStart"/>
      <w:r w:rsidRPr="006A5E15">
        <w:rPr>
          <w:rFonts w:ascii="Arial" w:eastAsiaTheme="minorEastAsia" w:hAnsi="Arial" w:cs="Arial"/>
          <w:kern w:val="0"/>
          <w:sz w:val="20"/>
          <w:szCs w:val="20"/>
          <w:lang w:eastAsia="de-DE"/>
        </w:rPr>
        <w:t>Rg</w:t>
      </w:r>
      <w:proofErr w:type="spellEnd"/>
      <w:r w:rsidRPr="006A5E15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 = 98, die für eine bemerkenswerte Lichtqualität sorgen</w:t>
      </w:r>
      <w:r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. </w:t>
      </w:r>
      <w:r w:rsidRPr="005B15CB">
        <w:rPr>
          <w:rFonts w:ascii="Arial" w:eastAsiaTheme="minorEastAsia" w:hAnsi="Arial" w:cs="Arial"/>
          <w:kern w:val="0"/>
          <w:sz w:val="20"/>
          <w:szCs w:val="20"/>
          <w:lang w:eastAsia="de-DE"/>
        </w:rPr>
        <w:t>Schutz gegen elektrostatische Entladungen bis +/- 2.000 V</w:t>
      </w:r>
      <w:r>
        <w:rPr>
          <w:rFonts w:ascii="Arial" w:eastAsiaTheme="minorEastAsia" w:hAnsi="Arial" w:cs="Arial"/>
          <w:kern w:val="0"/>
          <w:sz w:val="20"/>
          <w:szCs w:val="20"/>
          <w:lang w:eastAsia="de-DE"/>
        </w:rPr>
        <w:t>.</w:t>
      </w:r>
    </w:p>
    <w:p w14:paraId="29E9832B" w14:textId="77777777" w:rsidR="006A5E15" w:rsidRPr="005B15CB" w:rsidRDefault="006A5E15" w:rsidP="006A5E1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  <w:r w:rsidRPr="005B15CB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Eine gleichmäßige Lichtintensität über die gesamte Länge der Leuchte wird durch eine aktive Stromregelung erreicht, die durch integrierte Schaltkreise (ICs) auf jedem </w:t>
      </w:r>
      <w:proofErr w:type="spellStart"/>
      <w:r w:rsidRPr="005B15CB">
        <w:rPr>
          <w:rFonts w:ascii="Arial" w:eastAsiaTheme="minorEastAsia" w:hAnsi="Arial" w:cs="Arial"/>
          <w:kern w:val="0"/>
          <w:sz w:val="20"/>
          <w:szCs w:val="20"/>
          <w:lang w:eastAsia="de-DE"/>
        </w:rPr>
        <w:t>Step</w:t>
      </w:r>
      <w:proofErr w:type="spellEnd"/>
      <w:r w:rsidRPr="005B15CB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 der Lichtquelle reguliert wird. </w:t>
      </w:r>
    </w:p>
    <w:p w14:paraId="7E59CA2E" w14:textId="77777777" w:rsidR="006A5E15" w:rsidRPr="005B15CB" w:rsidRDefault="006A5E15" w:rsidP="006A5E1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</w:p>
    <w:p w14:paraId="55AE4471" w14:textId="77777777" w:rsidR="006A5E15" w:rsidRPr="005B15CB" w:rsidRDefault="006A5E15" w:rsidP="006A5E1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  <w:r w:rsidRPr="005B15CB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Vollständig PWM-dimmbar für Frequenzen &gt; 0 Hz bis 2 kHz (flimmerfrei für Frequenzen über 1,2 kHz gemäß IEEE P1789-Standard). </w:t>
      </w:r>
    </w:p>
    <w:p w14:paraId="1984751A" w14:textId="77777777" w:rsidR="006A5E15" w:rsidRPr="005B15CB" w:rsidRDefault="006A5E15" w:rsidP="006A5E1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</w:p>
    <w:p w14:paraId="098D15F4" w14:textId="2084349E" w:rsidR="006A5E15" w:rsidRDefault="0060118E" w:rsidP="006A5E1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  <w:r>
        <w:rPr>
          <w:rFonts w:ascii="Arial" w:eastAsiaTheme="minorEastAsia" w:hAnsi="Arial" w:cs="Arial"/>
          <w:kern w:val="0"/>
          <w:sz w:val="20"/>
          <w:szCs w:val="20"/>
          <w:lang w:eastAsia="de-DE"/>
        </w:rPr>
        <w:t>Leuchte und Lichtquelle e</w:t>
      </w:r>
      <w:r w:rsidRPr="003148C7">
        <w:rPr>
          <w:rFonts w:ascii="Arial" w:eastAsiaTheme="minorEastAsia" w:hAnsi="Arial" w:cs="Arial"/>
          <w:kern w:val="0"/>
          <w:sz w:val="20"/>
          <w:szCs w:val="20"/>
          <w:lang w:eastAsia="de-DE"/>
        </w:rPr>
        <w:t>ntwickelt und hergestellt in Deutschland.</w:t>
      </w:r>
    </w:p>
    <w:p w14:paraId="5C6FECDF" w14:textId="77777777" w:rsidR="006A5E15" w:rsidRDefault="006A5E15" w:rsidP="006A5E1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</w:p>
    <w:p w14:paraId="429918BF" w14:textId="77777777" w:rsidR="00FA499F" w:rsidRDefault="006A5E15" w:rsidP="006A5E1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b/>
          <w:bCs/>
          <w:kern w:val="0"/>
          <w:lang w:eastAsia="de-DE"/>
        </w:rPr>
      </w:pPr>
      <w:r w:rsidRPr="005B15CB">
        <w:rPr>
          <w:rFonts w:ascii="Arial" w:eastAsiaTheme="minorEastAsia" w:hAnsi="Arial" w:cs="Arial"/>
          <w:b/>
          <w:bCs/>
          <w:kern w:val="0"/>
          <w:lang w:eastAsia="de-DE"/>
        </w:rPr>
        <w:t>Berichte und Zertifizierungen</w:t>
      </w:r>
    </w:p>
    <w:p w14:paraId="65C1DFB1" w14:textId="06573F8A" w:rsidR="006A5E15" w:rsidRPr="00FA499F" w:rsidRDefault="006A5E15" w:rsidP="00E23FE6">
      <w:pPr>
        <w:widowControl w:val="0"/>
        <w:autoSpaceDE w:val="0"/>
        <w:autoSpaceDN w:val="0"/>
        <w:adjustRightInd w:val="0"/>
        <w:spacing w:after="0" w:line="276" w:lineRule="auto"/>
        <w:rPr>
          <w:rFonts w:ascii="Arial" w:eastAsiaTheme="minorEastAsia" w:hAnsi="Arial" w:cs="Arial"/>
          <w:b/>
          <w:bCs/>
          <w:kern w:val="0"/>
          <w:lang w:eastAsia="de-DE"/>
        </w:rPr>
      </w:pPr>
      <w:r w:rsidRPr="005B15CB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CE: </w:t>
      </w:r>
      <w:r w:rsidRPr="005B15CB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 w:rsidRPr="005B15CB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 w:rsidRPr="005B15CB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 w:rsidRPr="005B15CB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 w:rsidRPr="005B15CB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  <w:t>Ja, gemäß EN 60598-1:2022; EN 60598-2-1:2021</w:t>
      </w:r>
    </w:p>
    <w:p w14:paraId="59AF79B1" w14:textId="77777777" w:rsidR="006A5E15" w:rsidRPr="005B15CB" w:rsidRDefault="006A5E15" w:rsidP="00E23FE6">
      <w:pPr>
        <w:widowControl w:val="0"/>
        <w:autoSpaceDE w:val="0"/>
        <w:autoSpaceDN w:val="0"/>
        <w:adjustRightInd w:val="0"/>
        <w:spacing w:after="0" w:line="276" w:lineRule="auto"/>
        <w:ind w:left="2832" w:firstLine="708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  <w:r w:rsidRPr="005B15CB">
        <w:rPr>
          <w:rFonts w:ascii="Arial" w:eastAsiaTheme="minorEastAsia" w:hAnsi="Arial" w:cs="Arial"/>
          <w:kern w:val="0"/>
          <w:sz w:val="20"/>
          <w:szCs w:val="20"/>
          <w:lang w:eastAsia="de-DE"/>
        </w:rPr>
        <w:t>Ökodesign-Richtlinie 2019/2020/EU (L315/209</w:t>
      </w:r>
    </w:p>
    <w:p w14:paraId="3BDC66D3" w14:textId="77777777" w:rsidR="006A5E15" w:rsidRPr="005B15CB" w:rsidRDefault="006A5E15" w:rsidP="00E23FE6">
      <w:pPr>
        <w:widowControl w:val="0"/>
        <w:autoSpaceDE w:val="0"/>
        <w:autoSpaceDN w:val="0"/>
        <w:adjustRightInd w:val="0"/>
        <w:spacing w:after="0" w:line="276" w:lineRule="auto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  <w:r w:rsidRPr="005B15CB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 </w:t>
      </w:r>
      <w:r w:rsidRPr="005B15CB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 w:rsidRPr="005B15CB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 w:rsidRPr="005B15CB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 w:rsidRPr="005B15CB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 w:rsidRPr="005B15CB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  <w:t>ROHS-Richtlinie 2011/65/EU (L174/88)</w:t>
      </w:r>
    </w:p>
    <w:p w14:paraId="1161793B" w14:textId="77777777" w:rsidR="006A5E15" w:rsidRPr="005B15CB" w:rsidRDefault="006A5E15" w:rsidP="00E23FE6">
      <w:pPr>
        <w:widowControl w:val="0"/>
        <w:autoSpaceDE w:val="0"/>
        <w:autoSpaceDN w:val="0"/>
        <w:adjustRightInd w:val="0"/>
        <w:spacing w:after="0" w:line="276" w:lineRule="auto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  <w:r w:rsidRPr="005B15CB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 </w:t>
      </w:r>
      <w:r w:rsidRPr="005B15CB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 w:rsidRPr="005B15CB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 w:rsidRPr="005B15CB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 w:rsidRPr="005B15CB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 w:rsidRPr="005B15CB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  <w:t>WEEE-Richtlinie 2012/19/EU (L197/38)</w:t>
      </w:r>
    </w:p>
    <w:p w14:paraId="63749856" w14:textId="77777777" w:rsidR="006A5E15" w:rsidRPr="006A5E15" w:rsidRDefault="006A5E15" w:rsidP="00E23FE6">
      <w:pPr>
        <w:widowControl w:val="0"/>
        <w:autoSpaceDE w:val="0"/>
        <w:autoSpaceDN w:val="0"/>
        <w:adjustRightInd w:val="0"/>
        <w:spacing w:after="0" w:line="276" w:lineRule="auto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  <w:r w:rsidRPr="006A5E15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ETL:                </w:t>
      </w:r>
      <w:r w:rsidRPr="006A5E15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 w:rsidRPr="006A5E15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 w:rsidRPr="006A5E15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 w:rsidRPr="006A5E15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  <w:t xml:space="preserve">Ja, gemäß ATM-Bericht </w:t>
      </w:r>
    </w:p>
    <w:p w14:paraId="0B04F529" w14:textId="77777777" w:rsidR="006A5E15" w:rsidRPr="006A5E15" w:rsidRDefault="006A5E15" w:rsidP="00E23FE6">
      <w:pPr>
        <w:widowControl w:val="0"/>
        <w:autoSpaceDE w:val="0"/>
        <w:autoSpaceDN w:val="0"/>
        <w:adjustRightInd w:val="0"/>
        <w:spacing w:after="0" w:line="276" w:lineRule="auto"/>
        <w:ind w:left="3540"/>
        <w:rPr>
          <w:rFonts w:ascii="Arial" w:eastAsiaTheme="minorEastAsia" w:hAnsi="Arial" w:cs="Arial"/>
          <w:kern w:val="0"/>
          <w:sz w:val="20"/>
          <w:szCs w:val="20"/>
          <w:lang w:val="it-IT" w:eastAsia="de-DE"/>
        </w:rPr>
      </w:pPr>
      <w:bookmarkStart w:id="0" w:name="_Hlk211517676"/>
      <w:r w:rsidRPr="006A5E15">
        <w:rPr>
          <w:rFonts w:ascii="Arial" w:eastAsiaTheme="minorEastAsia" w:hAnsi="Arial" w:cs="Arial"/>
          <w:kern w:val="0"/>
          <w:sz w:val="20"/>
          <w:szCs w:val="20"/>
          <w:lang w:val="it-IT" w:eastAsia="de-DE"/>
        </w:rPr>
        <w:t>UL2108:2015 Ed.2+R:27Sep2024; CSA C22.2#250.0:2021 Ed.5+U1;U2</w:t>
      </w:r>
    </w:p>
    <w:bookmarkEnd w:id="0"/>
    <w:p w14:paraId="724F6317" w14:textId="77777777" w:rsidR="00EB5A03" w:rsidRDefault="00EB5A03" w:rsidP="00EB5A03">
      <w:pPr>
        <w:widowControl w:val="0"/>
        <w:autoSpaceDE w:val="0"/>
        <w:autoSpaceDN w:val="0"/>
        <w:adjustRightInd w:val="0"/>
        <w:spacing w:after="0" w:line="240" w:lineRule="auto"/>
        <w:ind w:left="3540" w:hanging="3540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UV-Beständigkeit </w:t>
      </w: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  <w:t>Ja, Testbedingungen: UV-A- und U</w:t>
      </w:r>
      <w:r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 </w:t>
      </w: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Strahlungsdosen, </w:t>
      </w:r>
      <w:r>
        <w:rPr>
          <w:rFonts w:ascii="Arial" w:eastAsiaTheme="minorEastAsia" w:hAnsi="Arial" w:cs="Arial"/>
          <w:kern w:val="0"/>
          <w:sz w:val="20"/>
          <w:szCs w:val="20"/>
          <w:lang w:eastAsia="de-DE"/>
        </w:rPr>
        <w:br/>
      </w: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>die einer zehnjährigen direkten Sonneneinstrahlung</w:t>
      </w:r>
      <w:r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 </w:t>
      </w: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>entsprechen</w:t>
      </w:r>
      <w:r w:rsidRPr="001F1B5F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 </w:t>
      </w:r>
    </w:p>
    <w:p w14:paraId="6C59BD36" w14:textId="77777777" w:rsidR="006A5E15" w:rsidRPr="005B15CB" w:rsidRDefault="006A5E15" w:rsidP="00E23FE6">
      <w:pPr>
        <w:widowControl w:val="0"/>
        <w:autoSpaceDE w:val="0"/>
        <w:autoSpaceDN w:val="0"/>
        <w:adjustRightInd w:val="0"/>
        <w:spacing w:after="0" w:line="276" w:lineRule="auto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  <w:r w:rsidRPr="005B15CB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TM30, TM21, TM82:        </w:t>
      </w:r>
      <w:r w:rsidRPr="005B15CB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 w:rsidRPr="005B15CB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  <w:t>Berichte auf Anfrage erhältlich</w:t>
      </w:r>
    </w:p>
    <w:p w14:paraId="49BCAF36" w14:textId="77777777" w:rsidR="006A5E15" w:rsidRPr="005B15CB" w:rsidRDefault="006A5E15" w:rsidP="00E23FE6">
      <w:pPr>
        <w:widowControl w:val="0"/>
        <w:autoSpaceDE w:val="0"/>
        <w:autoSpaceDN w:val="0"/>
        <w:adjustRightInd w:val="0"/>
        <w:spacing w:after="0" w:line="276" w:lineRule="auto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  <w:r w:rsidRPr="005B15CB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LM79, LM80:            </w:t>
      </w:r>
      <w:r w:rsidRPr="005B15CB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 w:rsidRPr="005B15CB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 w:rsidRPr="005B15CB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  <w:t>Berichte auf Anfrage erhältlich</w:t>
      </w:r>
    </w:p>
    <w:p w14:paraId="2514AB9B" w14:textId="77777777" w:rsidR="006A5E15" w:rsidRPr="005B15CB" w:rsidRDefault="006A5E15" w:rsidP="006A5E1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</w:p>
    <w:p w14:paraId="77A256D1" w14:textId="77777777" w:rsidR="006A5E15" w:rsidRPr="0033396D" w:rsidRDefault="006A5E15">
      <w:pPr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</w:p>
    <w:sectPr w:rsidR="006A5E15" w:rsidRPr="0033396D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72A9"/>
    <w:rsid w:val="000972A9"/>
    <w:rsid w:val="0033396D"/>
    <w:rsid w:val="00482D08"/>
    <w:rsid w:val="004E38B7"/>
    <w:rsid w:val="00507F0C"/>
    <w:rsid w:val="005F6576"/>
    <w:rsid w:val="0060118E"/>
    <w:rsid w:val="006557D7"/>
    <w:rsid w:val="006A5E15"/>
    <w:rsid w:val="008B1517"/>
    <w:rsid w:val="0093607C"/>
    <w:rsid w:val="00A25CA4"/>
    <w:rsid w:val="00B7053C"/>
    <w:rsid w:val="00BA1220"/>
    <w:rsid w:val="00BC3B96"/>
    <w:rsid w:val="00E23FE6"/>
    <w:rsid w:val="00E37592"/>
    <w:rsid w:val="00EB5A03"/>
    <w:rsid w:val="00EF6425"/>
    <w:rsid w:val="00FA4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962DE1"/>
  <w15:chartTrackingRefBased/>
  <w15:docId w15:val="{C2DF38FC-87F4-4981-9268-FBD55FCF65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0972A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0972A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0972A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0972A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0972A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0972A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0972A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0972A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0972A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0972A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0972A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0972A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0972A9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0972A9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0972A9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0972A9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0972A9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0972A9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0972A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0972A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0972A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0972A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0972A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0972A9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0972A9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0972A9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0972A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0972A9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0972A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5a7b78a-a0f9-48e8-bc75-66e720fbb2a2">
      <Terms xmlns="http://schemas.microsoft.com/office/infopath/2007/PartnerControls"/>
    </lcf76f155ced4ddcb4097134ff3c332f>
    <TaxCatchAll xmlns="59fe52f9-08cd-4680-bca6-6274c66ef8a7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2141E53A78AA14AB7EA7A2B6659DB8F" ma:contentTypeVersion="12" ma:contentTypeDescription="Ein neues Dokument erstellen." ma:contentTypeScope="" ma:versionID="33559ca19d930f39148573e1f71a219c">
  <xsd:schema xmlns:xsd="http://www.w3.org/2001/XMLSchema" xmlns:xs="http://www.w3.org/2001/XMLSchema" xmlns:p="http://schemas.microsoft.com/office/2006/metadata/properties" xmlns:ns2="a5a7b78a-a0f9-48e8-bc75-66e720fbb2a2" xmlns:ns3="59fe52f9-08cd-4680-bca6-6274c66ef8a7" targetNamespace="http://schemas.microsoft.com/office/2006/metadata/properties" ma:root="true" ma:fieldsID="acd935b02c44eb5bd840642968470a8d" ns2:_="" ns3:_="">
    <xsd:import namespace="a5a7b78a-a0f9-48e8-bc75-66e720fbb2a2"/>
    <xsd:import namespace="59fe52f9-08cd-4680-bca6-6274c66ef8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a7b78a-a0f9-48e8-bc75-66e720fbb2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Bildmarkierungen" ma:readOnly="false" ma:fieldId="{5cf76f15-5ced-4ddc-b409-7134ff3c332f}" ma:taxonomyMulti="true" ma:sspId="3d459374-35f4-4cc4-8209-1117ea41491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fe52f9-08cd-4680-bca6-6274c66ef8a7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4305678e-fd2f-4760-8f0b-fd012a5937f5}" ma:internalName="TaxCatchAll" ma:showField="CatchAllData" ma:web="59fe52f9-08cd-4680-bca6-6274c66ef8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9AE8DF8-2E3A-44E4-A3E6-FB7041E4E35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81D7B80-0143-424E-AF02-9AEAF20091C9}">
  <ds:schemaRefs>
    <ds:schemaRef ds:uri="http://schemas.microsoft.com/office/2006/metadata/properties"/>
    <ds:schemaRef ds:uri="http://schemas.microsoft.com/office/infopath/2007/PartnerControls"/>
    <ds:schemaRef ds:uri="dcf8a495-1023-4eea-820b-e76c70f2fa2f"/>
    <ds:schemaRef ds:uri="5f923376-ad6d-4fb0-873f-adf0c92a9677"/>
  </ds:schemaRefs>
</ds:datastoreItem>
</file>

<file path=customXml/itemProps3.xml><?xml version="1.0" encoding="utf-8"?>
<ds:datastoreItem xmlns:ds="http://schemas.openxmlformats.org/officeDocument/2006/customXml" ds:itemID="{789EC5F7-299D-4F01-9CF0-5CD0C526B66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355</Words>
  <Characters>2239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Luyten, Lukas</dc:creator>
  <cp:keywords/>
  <dc:description/>
  <cp:lastModifiedBy>Luyten, Lukas</cp:lastModifiedBy>
  <cp:revision>12</cp:revision>
  <dcterms:created xsi:type="dcterms:W3CDTF">2026-03-26T07:34:00Z</dcterms:created>
  <dcterms:modified xsi:type="dcterms:W3CDTF">2026-06-15T07:25:00Z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0x010100F2141E53A78AA14AB7EA7A2B6659DB8F</vt:lpwstr>
  </property>
  <property fmtid="{D5CDD505-2E9C-101B-9397-08002B2CF9AE}" pid="3" name="MediaServiceImageTags">
    <vt:lpwstr/>
  </property>
</Properties>
</file>